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EB807" w14:textId="77777777" w:rsidR="007106C2" w:rsidRDefault="007106C2" w:rsidP="007106C2">
      <w:pPr>
        <w:pStyle w:val="Default"/>
        <w:numPr>
          <w:ilvl w:val="0"/>
          <w:numId w:val="1"/>
        </w:numPr>
        <w:spacing w:line="720" w:lineRule="auto"/>
        <w:rPr>
          <w:b/>
          <w:bCs/>
          <w:sz w:val="20"/>
          <w:szCs w:val="20"/>
        </w:rPr>
      </w:pPr>
      <w:proofErr w:type="gramStart"/>
      <w:r>
        <w:t>.</w:t>
      </w:r>
      <w:r>
        <w:rPr>
          <w:b/>
          <w:bCs/>
          <w:sz w:val="20"/>
          <w:szCs w:val="20"/>
        </w:rPr>
        <w:t>Monto</w:t>
      </w:r>
      <w:proofErr w:type="gramEnd"/>
      <w:r>
        <w:rPr>
          <w:b/>
          <w:bCs/>
          <w:sz w:val="20"/>
          <w:szCs w:val="20"/>
        </w:rPr>
        <w:t xml:space="preserve"> y el destino de la reinversión del beneficio o excedente neto: </w:t>
      </w:r>
    </w:p>
    <w:p w14:paraId="73F6E2DF" w14:textId="77777777" w:rsidR="007106C2" w:rsidRPr="00967842" w:rsidRDefault="007106C2" w:rsidP="007106C2">
      <w:pPr>
        <w:pStyle w:val="Sangra2detindependiente"/>
        <w:spacing w:after="0" w:line="240" w:lineRule="auto"/>
        <w:ind w:left="0"/>
        <w:jc w:val="both"/>
        <w:rPr>
          <w:rFonts w:ascii="Arial" w:eastAsiaTheme="minorHAnsi" w:hAnsi="Arial" w:cs="Arial"/>
          <w:color w:val="000000"/>
          <w:lang w:val="es-ES" w:eastAsia="en-US"/>
        </w:rPr>
      </w:pPr>
      <w:r w:rsidRPr="00967842">
        <w:rPr>
          <w:rFonts w:ascii="Arial" w:eastAsiaTheme="minorHAnsi" w:hAnsi="Arial" w:cs="Arial"/>
          <w:color w:val="000000"/>
          <w:lang w:val="es-ES" w:eastAsia="en-US"/>
        </w:rPr>
        <w:t>De acuerdo con Acta 0067 de la Asamblea General de delegados, celebrada el pasado 28 de marzo de 2026, fue aprobada la propuesta presentada por el Consejo de la distribución de los excedentes generados por la Cooperativa durante el ejercicio 2025.</w:t>
      </w:r>
    </w:p>
    <w:p w14:paraId="616A6871" w14:textId="77777777" w:rsidR="007106C2" w:rsidRPr="00967842" w:rsidRDefault="007106C2" w:rsidP="007106C2">
      <w:pPr>
        <w:pStyle w:val="Default"/>
        <w:jc w:val="both"/>
        <w:rPr>
          <w:rFonts w:ascii="Times New Roman" w:eastAsia="Times New Roman" w:hAnsi="Times New Roman" w:cs="Times New Roman"/>
          <w:color w:val="auto"/>
          <w:sz w:val="20"/>
          <w:szCs w:val="20"/>
          <w:lang w:val="es-CO" w:eastAsia="es-CO"/>
        </w:rPr>
      </w:pPr>
    </w:p>
    <w:p w14:paraId="4A359263" w14:textId="77777777" w:rsidR="007106C2" w:rsidRPr="00967842" w:rsidRDefault="007106C2" w:rsidP="007106C2">
      <w:pPr>
        <w:pStyle w:val="Sinespaciado"/>
        <w:jc w:val="both"/>
        <w:rPr>
          <w:rFonts w:ascii="Arial" w:hAnsi="Arial" w:cs="Arial"/>
          <w:color w:val="000000"/>
          <w:sz w:val="20"/>
          <w:szCs w:val="20"/>
          <w:lang w:val="es-ES"/>
        </w:rPr>
      </w:pPr>
      <w:r w:rsidRPr="00967842">
        <w:rPr>
          <w:rFonts w:ascii="Arial" w:hAnsi="Arial" w:cs="Arial"/>
          <w:color w:val="000000"/>
          <w:sz w:val="20"/>
          <w:szCs w:val="20"/>
          <w:lang w:val="es-ES"/>
        </w:rPr>
        <w:t>. Esta reserva es una sana política de previsión para asegurar la estabilidad en períodos de dificultades económicas y para prever sucesos extraordinarios que puedan quebrantar la estructura económica y financiera de las cooperativas.</w:t>
      </w:r>
    </w:p>
    <w:p w14:paraId="043DC9EB" w14:textId="77777777" w:rsidR="007106C2" w:rsidRPr="00967842" w:rsidRDefault="007106C2" w:rsidP="007106C2">
      <w:pPr>
        <w:pStyle w:val="Sinespaciado"/>
        <w:jc w:val="both"/>
        <w:rPr>
          <w:rFonts w:ascii="Arial" w:hAnsi="Arial" w:cs="Arial"/>
          <w:color w:val="000000"/>
          <w:sz w:val="20"/>
          <w:szCs w:val="20"/>
          <w:lang w:val="es-ES"/>
        </w:rPr>
      </w:pPr>
    </w:p>
    <w:p w14:paraId="5177E9B4" w14:textId="77777777" w:rsidR="007106C2" w:rsidRPr="00967842" w:rsidRDefault="007106C2" w:rsidP="007106C2">
      <w:pPr>
        <w:pStyle w:val="Sinespaciado"/>
        <w:jc w:val="both"/>
        <w:rPr>
          <w:rFonts w:ascii="Arial" w:hAnsi="Arial" w:cs="Arial"/>
          <w:color w:val="000000"/>
          <w:sz w:val="20"/>
          <w:szCs w:val="20"/>
          <w:lang w:val="es-ES"/>
        </w:rPr>
      </w:pPr>
      <w:r w:rsidRPr="00967842">
        <w:rPr>
          <w:rFonts w:ascii="Arial" w:hAnsi="Arial" w:cs="Arial"/>
          <w:color w:val="000000"/>
          <w:sz w:val="20"/>
          <w:szCs w:val="20"/>
          <w:lang w:val="es-ES"/>
        </w:rPr>
        <w:t>Al respecto, los artículos 54 y 55 de la Ley 79 de 1988, indican:</w:t>
      </w:r>
    </w:p>
    <w:p w14:paraId="004D741D" w14:textId="77777777" w:rsidR="007106C2" w:rsidRPr="00967842" w:rsidRDefault="007106C2" w:rsidP="007106C2">
      <w:pPr>
        <w:pStyle w:val="Sinespaciado"/>
        <w:jc w:val="both"/>
        <w:rPr>
          <w:rFonts w:ascii="Arial" w:hAnsi="Arial" w:cs="Arial"/>
          <w:color w:val="000000"/>
          <w:sz w:val="20"/>
          <w:szCs w:val="20"/>
          <w:lang w:val="es-ES"/>
        </w:rPr>
      </w:pPr>
      <w:r w:rsidRPr="00967842">
        <w:rPr>
          <w:rFonts w:ascii="Arial" w:hAnsi="Arial" w:cs="Arial"/>
          <w:color w:val="000000"/>
          <w:sz w:val="20"/>
          <w:szCs w:val="20"/>
          <w:lang w:val="es-ES"/>
        </w:rPr>
        <w:t>Artículo 54. Si del ejercicio resultaren excedentes, estos se aplicarán de la siguiente forma:</w:t>
      </w:r>
    </w:p>
    <w:p w14:paraId="366C2838" w14:textId="77777777" w:rsidR="007106C2" w:rsidRPr="00967842" w:rsidRDefault="007106C2" w:rsidP="007106C2">
      <w:pPr>
        <w:pStyle w:val="Sinespaciado"/>
        <w:jc w:val="both"/>
        <w:rPr>
          <w:rFonts w:ascii="Arial" w:hAnsi="Arial" w:cs="Arial"/>
          <w:color w:val="000000"/>
          <w:sz w:val="20"/>
          <w:szCs w:val="20"/>
          <w:lang w:val="es-ES"/>
        </w:rPr>
      </w:pPr>
    </w:p>
    <w:p w14:paraId="6E4FC236" w14:textId="77777777" w:rsidR="007106C2" w:rsidRPr="00967842" w:rsidRDefault="007106C2" w:rsidP="007106C2">
      <w:pPr>
        <w:pStyle w:val="Sinespaciado"/>
        <w:jc w:val="both"/>
        <w:rPr>
          <w:rFonts w:ascii="Arial" w:hAnsi="Arial" w:cs="Arial"/>
          <w:color w:val="000000"/>
          <w:sz w:val="20"/>
          <w:szCs w:val="20"/>
          <w:lang w:val="es-ES"/>
        </w:rPr>
      </w:pPr>
      <w:r w:rsidRPr="00967842">
        <w:rPr>
          <w:rFonts w:ascii="Arial" w:hAnsi="Arial" w:cs="Arial"/>
          <w:color w:val="000000"/>
          <w:sz w:val="20"/>
          <w:szCs w:val="20"/>
          <w:lang w:val="es-ES"/>
        </w:rPr>
        <w:t>▪ Un veinte por ciento (20%) como mínimo para crear y mantener una reserva de protección de los aportes sociales;</w:t>
      </w:r>
    </w:p>
    <w:p w14:paraId="04DA7FFE" w14:textId="77777777" w:rsidR="007106C2" w:rsidRPr="00967842" w:rsidRDefault="007106C2" w:rsidP="007106C2">
      <w:pPr>
        <w:pStyle w:val="Sinespaciado"/>
        <w:jc w:val="both"/>
        <w:rPr>
          <w:rFonts w:ascii="Arial" w:hAnsi="Arial" w:cs="Arial"/>
          <w:color w:val="000000"/>
          <w:sz w:val="20"/>
          <w:szCs w:val="20"/>
          <w:lang w:val="es-ES"/>
        </w:rPr>
      </w:pPr>
      <w:r w:rsidRPr="00967842">
        <w:rPr>
          <w:rFonts w:ascii="Arial" w:hAnsi="Arial" w:cs="Arial"/>
          <w:color w:val="000000"/>
          <w:sz w:val="20"/>
          <w:szCs w:val="20"/>
          <w:lang w:val="es-ES"/>
        </w:rPr>
        <w:t>▪ Un veinte por ciento (20%) como mínimo para el Fondo de educación y</w:t>
      </w:r>
    </w:p>
    <w:p w14:paraId="4D6CD5D1" w14:textId="77777777" w:rsidR="007106C2" w:rsidRPr="00967842" w:rsidRDefault="007106C2" w:rsidP="007106C2">
      <w:pPr>
        <w:pStyle w:val="Sinespaciado"/>
        <w:jc w:val="both"/>
        <w:rPr>
          <w:rFonts w:ascii="Arial" w:hAnsi="Arial" w:cs="Arial"/>
          <w:color w:val="000000"/>
          <w:sz w:val="20"/>
          <w:szCs w:val="20"/>
          <w:lang w:val="es-ES"/>
        </w:rPr>
      </w:pPr>
      <w:r w:rsidRPr="00967842">
        <w:rPr>
          <w:rFonts w:ascii="Arial" w:hAnsi="Arial" w:cs="Arial"/>
          <w:color w:val="000000"/>
          <w:sz w:val="20"/>
          <w:szCs w:val="20"/>
          <w:lang w:val="es-ES"/>
        </w:rPr>
        <w:t>▪ un diez por ciento (10%) mínimo para un Fondo de solidaridad.</w:t>
      </w:r>
    </w:p>
    <w:p w14:paraId="635382A6" w14:textId="77777777" w:rsidR="007106C2" w:rsidRPr="00967842" w:rsidRDefault="007106C2" w:rsidP="007106C2">
      <w:pPr>
        <w:pStyle w:val="Sinespaciado"/>
        <w:jc w:val="both"/>
        <w:rPr>
          <w:rFonts w:ascii="Arial" w:hAnsi="Arial" w:cs="Arial"/>
          <w:color w:val="000000"/>
          <w:sz w:val="20"/>
          <w:szCs w:val="20"/>
          <w:lang w:val="es-ES"/>
        </w:rPr>
      </w:pPr>
    </w:p>
    <w:p w14:paraId="15C7FE56" w14:textId="77777777" w:rsidR="007106C2" w:rsidRPr="00967842" w:rsidRDefault="007106C2" w:rsidP="007106C2">
      <w:pPr>
        <w:pStyle w:val="Sinespaciado"/>
        <w:jc w:val="both"/>
        <w:rPr>
          <w:rFonts w:ascii="Arial" w:hAnsi="Arial" w:cs="Arial"/>
          <w:color w:val="000000"/>
          <w:sz w:val="20"/>
          <w:szCs w:val="20"/>
          <w:lang w:val="es-ES"/>
        </w:rPr>
      </w:pPr>
      <w:r w:rsidRPr="00967842">
        <w:rPr>
          <w:rFonts w:ascii="Arial" w:hAnsi="Arial" w:cs="Arial"/>
          <w:color w:val="000000"/>
          <w:sz w:val="20"/>
          <w:szCs w:val="20"/>
          <w:lang w:val="es-ES"/>
        </w:rPr>
        <w:t>Artículo 55: No obstante, lo previsto en el artículo anterior, el excedente de las cooperativas se aplicará en primer término a compensar pérdidas de ejercicios anteriores.</w:t>
      </w:r>
    </w:p>
    <w:p w14:paraId="3474EF87" w14:textId="77777777" w:rsidR="007106C2" w:rsidRPr="00967842" w:rsidRDefault="007106C2" w:rsidP="007106C2">
      <w:pPr>
        <w:pStyle w:val="Sinespaciado"/>
        <w:jc w:val="both"/>
        <w:rPr>
          <w:rFonts w:ascii="Arial" w:hAnsi="Arial" w:cs="Arial"/>
          <w:color w:val="000000"/>
          <w:sz w:val="20"/>
          <w:szCs w:val="20"/>
          <w:lang w:val="es-ES"/>
        </w:rPr>
      </w:pPr>
    </w:p>
    <w:p w14:paraId="0515D00F" w14:textId="77777777" w:rsidR="007106C2" w:rsidRPr="00967842" w:rsidRDefault="007106C2" w:rsidP="007106C2">
      <w:pPr>
        <w:pStyle w:val="Sinespaciado"/>
        <w:jc w:val="both"/>
        <w:rPr>
          <w:rFonts w:ascii="Arial" w:hAnsi="Arial" w:cs="Arial"/>
          <w:color w:val="000000"/>
          <w:sz w:val="20"/>
          <w:szCs w:val="20"/>
          <w:lang w:val="es-ES"/>
        </w:rPr>
      </w:pPr>
      <w:r w:rsidRPr="00967842">
        <w:rPr>
          <w:rFonts w:ascii="Arial" w:hAnsi="Arial" w:cs="Arial"/>
          <w:color w:val="000000"/>
          <w:sz w:val="20"/>
          <w:szCs w:val="20"/>
          <w:lang w:val="es-ES"/>
        </w:rPr>
        <w:t>Cuando la reserva de la protección de los aportes sociales se hubiere empleado para compensar pérdidas, la primera aplicación del excedente será la de establecer la reserva al nivel que tenía antes de su utilización".</w:t>
      </w:r>
    </w:p>
    <w:p w14:paraId="30DB83E6" w14:textId="77777777" w:rsidR="007106C2" w:rsidRPr="00967842" w:rsidRDefault="007106C2" w:rsidP="007106C2">
      <w:pPr>
        <w:pStyle w:val="Sinespaciado"/>
        <w:jc w:val="both"/>
        <w:rPr>
          <w:rFonts w:ascii="Arial" w:hAnsi="Arial" w:cs="Arial"/>
          <w:color w:val="000000"/>
          <w:sz w:val="20"/>
          <w:szCs w:val="20"/>
          <w:lang w:val="es-ES"/>
        </w:rPr>
      </w:pPr>
    </w:p>
    <w:p w14:paraId="705FEE16" w14:textId="77777777" w:rsidR="007106C2" w:rsidRPr="00967842" w:rsidRDefault="007106C2" w:rsidP="007106C2">
      <w:pPr>
        <w:pStyle w:val="Sinespaciado"/>
        <w:jc w:val="both"/>
        <w:rPr>
          <w:rFonts w:ascii="Arial" w:hAnsi="Arial" w:cs="Arial"/>
          <w:color w:val="000000"/>
          <w:sz w:val="20"/>
          <w:szCs w:val="20"/>
          <w:lang w:val="es-ES"/>
        </w:rPr>
      </w:pPr>
      <w:r w:rsidRPr="00967842">
        <w:rPr>
          <w:rFonts w:ascii="Arial" w:hAnsi="Arial" w:cs="Arial"/>
          <w:color w:val="000000"/>
          <w:sz w:val="20"/>
          <w:szCs w:val="20"/>
          <w:lang w:val="es-ES"/>
        </w:rPr>
        <w:t xml:space="preserve">Con base en lo anterior, se presenta la siguiente propuesta a la Asamblea General de delegados:  </w:t>
      </w:r>
    </w:p>
    <w:p w14:paraId="2B3DB289" w14:textId="77777777" w:rsidR="007106C2" w:rsidRDefault="007106C2" w:rsidP="007106C2">
      <w:pPr>
        <w:pStyle w:val="Sinespaciado"/>
        <w:jc w:val="both"/>
        <w:rPr>
          <w:rFonts w:ascii="Arial" w:hAnsi="Arial" w:cs="Arial"/>
          <w:color w:val="000000"/>
          <w:sz w:val="20"/>
          <w:szCs w:val="20"/>
          <w:lang w:val="es-ES"/>
        </w:rPr>
      </w:pPr>
      <w:r w:rsidRPr="00967842">
        <w:rPr>
          <w:rFonts w:ascii="Arial" w:hAnsi="Arial" w:cs="Arial"/>
          <w:color w:val="000000"/>
          <w:sz w:val="20"/>
          <w:szCs w:val="20"/>
          <w:lang w:val="es-ES"/>
        </w:rPr>
        <w:t>Recomponer la Reserva Legal con los excedentes del año 2025, por valor de $27.185.136.926, según el siguiente registro:</w:t>
      </w:r>
    </w:p>
    <w:p w14:paraId="78F70503" w14:textId="77777777" w:rsidR="007106C2" w:rsidRDefault="007106C2" w:rsidP="007106C2">
      <w:pPr>
        <w:pStyle w:val="Sinespaciado"/>
        <w:jc w:val="both"/>
        <w:rPr>
          <w:rFonts w:ascii="Arial" w:hAnsi="Arial" w:cs="Arial"/>
          <w:color w:val="000000"/>
          <w:sz w:val="20"/>
          <w:szCs w:val="20"/>
          <w:lang w:val="es-ES"/>
        </w:rPr>
      </w:pPr>
    </w:p>
    <w:p w14:paraId="37883CBA" w14:textId="77777777" w:rsidR="007106C2" w:rsidRDefault="007106C2" w:rsidP="007106C2">
      <w:pPr>
        <w:pStyle w:val="Sinespaciado"/>
        <w:jc w:val="both"/>
        <w:rPr>
          <w:rFonts w:ascii="Arial" w:hAnsi="Arial" w:cs="Arial"/>
          <w:color w:val="000000"/>
          <w:sz w:val="20"/>
          <w:szCs w:val="20"/>
          <w:lang w:val="es-ES"/>
        </w:rPr>
      </w:pPr>
    </w:p>
    <w:p w14:paraId="008E7022" w14:textId="77777777" w:rsidR="007106C2" w:rsidRDefault="007106C2" w:rsidP="007106C2">
      <w:pPr>
        <w:pStyle w:val="Sinespaciado"/>
        <w:jc w:val="both"/>
        <w:rPr>
          <w:rFonts w:ascii="Arial" w:hAnsi="Arial" w:cs="Arial"/>
        </w:rPr>
      </w:pPr>
      <w:r w:rsidRPr="00B02A39">
        <w:rPr>
          <w:rFonts w:ascii="Arial" w:hAnsi="Arial" w:cs="Arial"/>
          <w:noProof/>
        </w:rPr>
        <w:drawing>
          <wp:inline distT="0" distB="0" distL="0" distR="0" wp14:anchorId="6F99D772" wp14:editId="7BEB31BD">
            <wp:extent cx="5612130" cy="695325"/>
            <wp:effectExtent l="0" t="0" r="7620" b="9525"/>
            <wp:docPr id="16667785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778546" name=""/>
                    <pic:cNvPicPr/>
                  </pic:nvPicPr>
                  <pic:blipFill>
                    <a:blip r:embed="rId5"/>
                    <a:stretch>
                      <a:fillRect/>
                    </a:stretch>
                  </pic:blipFill>
                  <pic:spPr>
                    <a:xfrm>
                      <a:off x="0" y="0"/>
                      <a:ext cx="5612130" cy="695325"/>
                    </a:xfrm>
                    <a:prstGeom prst="rect">
                      <a:avLst/>
                    </a:prstGeom>
                  </pic:spPr>
                </pic:pic>
              </a:graphicData>
            </a:graphic>
          </wp:inline>
        </w:drawing>
      </w:r>
    </w:p>
    <w:p w14:paraId="7370838B" w14:textId="77777777" w:rsidR="007106C2" w:rsidRDefault="007106C2" w:rsidP="007106C2">
      <w:pPr>
        <w:pStyle w:val="Sangra2detindependiente"/>
        <w:spacing w:after="0" w:line="240" w:lineRule="auto"/>
        <w:ind w:left="0"/>
        <w:jc w:val="both"/>
        <w:rPr>
          <w:rFonts w:ascii="Arial" w:hAnsi="Arial" w:cs="Arial"/>
        </w:rPr>
      </w:pPr>
    </w:p>
    <w:p w14:paraId="3E73585E" w14:textId="77777777" w:rsidR="007106C2" w:rsidRDefault="007106C2" w:rsidP="007106C2">
      <w:pPr>
        <w:pStyle w:val="Sangra2detindependiente"/>
        <w:spacing w:after="0" w:line="240" w:lineRule="auto"/>
        <w:ind w:left="0"/>
        <w:jc w:val="both"/>
        <w:rPr>
          <w:rFonts w:ascii="Arial" w:hAnsi="Arial" w:cs="Arial"/>
        </w:rPr>
      </w:pPr>
    </w:p>
    <w:p w14:paraId="6A11F0AD" w14:textId="77777777" w:rsidR="007106C2" w:rsidRDefault="007106C2" w:rsidP="007106C2">
      <w:pPr>
        <w:pStyle w:val="Sinespaciado"/>
        <w:jc w:val="both"/>
        <w:rPr>
          <w:rFonts w:ascii="Arial" w:hAnsi="Arial" w:cs="Arial"/>
          <w:color w:val="000000"/>
          <w:sz w:val="20"/>
          <w:szCs w:val="20"/>
          <w:lang w:val="es-ES"/>
        </w:rPr>
      </w:pPr>
    </w:p>
    <w:p w14:paraId="4D4B1794" w14:textId="77777777" w:rsidR="007106C2" w:rsidRDefault="007106C2" w:rsidP="007106C2">
      <w:pPr>
        <w:pStyle w:val="Sinespaciado"/>
        <w:jc w:val="both"/>
        <w:rPr>
          <w:rFonts w:ascii="Arial" w:hAnsi="Arial" w:cs="Arial"/>
          <w:color w:val="000000"/>
          <w:sz w:val="20"/>
          <w:szCs w:val="20"/>
          <w:lang w:val="es-ES"/>
        </w:rPr>
      </w:pPr>
      <w:r w:rsidRPr="007D4F3A">
        <w:rPr>
          <w:rFonts w:ascii="Arial" w:hAnsi="Arial" w:cs="Arial"/>
          <w:color w:val="000000"/>
          <w:sz w:val="20"/>
          <w:szCs w:val="20"/>
          <w:lang w:val="es-ES"/>
        </w:rPr>
        <w:t xml:space="preserve"> </w:t>
      </w:r>
    </w:p>
    <w:p w14:paraId="54D476D6" w14:textId="77777777" w:rsidR="007106C2" w:rsidRPr="007D4F3A" w:rsidRDefault="007106C2" w:rsidP="007106C2">
      <w:pPr>
        <w:pStyle w:val="Sinespaciado"/>
        <w:jc w:val="both"/>
        <w:rPr>
          <w:rFonts w:ascii="Arial" w:hAnsi="Arial" w:cs="Arial"/>
          <w:color w:val="000000"/>
          <w:sz w:val="20"/>
          <w:szCs w:val="20"/>
          <w:lang w:val="es-ES"/>
        </w:rPr>
      </w:pPr>
      <w:r w:rsidRPr="009D1066">
        <w:rPr>
          <w:noProof/>
        </w:rPr>
        <w:lastRenderedPageBreak/>
        <w:drawing>
          <wp:inline distT="0" distB="0" distL="0" distR="0" wp14:anchorId="08E00D49" wp14:editId="166A531C">
            <wp:extent cx="5686425" cy="3651885"/>
            <wp:effectExtent l="0" t="0" r="9525" b="5715"/>
            <wp:docPr id="106511598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86425" cy="3651885"/>
                    </a:xfrm>
                    <a:prstGeom prst="rect">
                      <a:avLst/>
                    </a:prstGeom>
                    <a:noFill/>
                    <a:ln>
                      <a:noFill/>
                    </a:ln>
                  </pic:spPr>
                </pic:pic>
              </a:graphicData>
            </a:graphic>
          </wp:inline>
        </w:drawing>
      </w:r>
    </w:p>
    <w:p w14:paraId="75DFC30F" w14:textId="77777777" w:rsidR="007106C2" w:rsidRPr="00E8203E" w:rsidRDefault="007106C2" w:rsidP="007106C2">
      <w:pPr>
        <w:pStyle w:val="Sinespaciado"/>
        <w:jc w:val="both"/>
        <w:rPr>
          <w:rFonts w:ascii="Arial" w:hAnsi="Arial" w:cs="Arial"/>
          <w:b/>
          <w:sz w:val="32"/>
          <w:szCs w:val="32"/>
        </w:rPr>
      </w:pPr>
      <w:r w:rsidRPr="009F2C9F">
        <w:rPr>
          <w:noProof/>
        </w:rPr>
        <w:drawing>
          <wp:inline distT="0" distB="0" distL="0" distR="0" wp14:anchorId="08030562" wp14:editId="76F23A85">
            <wp:extent cx="5686425" cy="1511935"/>
            <wp:effectExtent l="0" t="0" r="0" b="0"/>
            <wp:docPr id="190510906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6425" cy="1511935"/>
                    </a:xfrm>
                    <a:prstGeom prst="rect">
                      <a:avLst/>
                    </a:prstGeom>
                    <a:noFill/>
                    <a:ln>
                      <a:noFill/>
                    </a:ln>
                  </pic:spPr>
                </pic:pic>
              </a:graphicData>
            </a:graphic>
          </wp:inline>
        </w:drawing>
      </w:r>
    </w:p>
    <w:p w14:paraId="244B160E" w14:textId="77777777" w:rsidR="007106C2" w:rsidRDefault="007106C2" w:rsidP="007106C2">
      <w:pPr>
        <w:autoSpaceDE w:val="0"/>
        <w:autoSpaceDN w:val="0"/>
        <w:adjustRightInd w:val="0"/>
        <w:spacing w:after="0" w:line="360" w:lineRule="auto"/>
        <w:jc w:val="both"/>
        <w:rPr>
          <w:rFonts w:ascii="Arial" w:hAnsi="Arial" w:cs="Arial"/>
          <w:b/>
          <w:bCs/>
          <w:color w:val="000000"/>
          <w:sz w:val="20"/>
          <w:szCs w:val="20"/>
          <w:lang w:val="es-ES"/>
        </w:rPr>
      </w:pPr>
    </w:p>
    <w:p w14:paraId="7FA3C930" w14:textId="77777777" w:rsidR="006769A0" w:rsidRPr="007106C2" w:rsidRDefault="006769A0" w:rsidP="007106C2"/>
    <w:sectPr w:rsidR="006769A0" w:rsidRPr="007106C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20223"/>
    <w:multiLevelType w:val="hybridMultilevel"/>
    <w:tmpl w:val="38AA3D46"/>
    <w:lvl w:ilvl="0" w:tplc="3C723A8A">
      <w:start w:val="1"/>
      <w:numFmt w:val="decimal"/>
      <w:lvlText w:val="%1."/>
      <w:lvlJc w:val="left"/>
      <w:pPr>
        <w:ind w:left="720" w:hanging="360"/>
      </w:pPr>
      <w:rPr>
        <w:rFonts w:hint="default"/>
        <w:b/>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358889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9A0"/>
    <w:rsid w:val="002431A9"/>
    <w:rsid w:val="003D3D76"/>
    <w:rsid w:val="004A0676"/>
    <w:rsid w:val="006769A0"/>
    <w:rsid w:val="006E390F"/>
    <w:rsid w:val="007106C2"/>
    <w:rsid w:val="008F51FE"/>
    <w:rsid w:val="00AB2DBC"/>
    <w:rsid w:val="00BB7D81"/>
    <w:rsid w:val="00EF632F"/>
    <w:rsid w:val="00F6276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3E693"/>
  <w15:chartTrackingRefBased/>
  <w15:docId w15:val="{7586702A-E5DA-4336-8F2F-916838825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9A0"/>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6769A0"/>
    <w:pPr>
      <w:autoSpaceDE w:val="0"/>
      <w:autoSpaceDN w:val="0"/>
      <w:adjustRightInd w:val="0"/>
      <w:spacing w:after="0" w:line="240" w:lineRule="auto"/>
    </w:pPr>
    <w:rPr>
      <w:rFonts w:ascii="Arial" w:hAnsi="Arial" w:cs="Arial"/>
      <w:color w:val="000000"/>
      <w:kern w:val="0"/>
      <w:sz w:val="24"/>
      <w:szCs w:val="24"/>
      <w:lang w:val="es-ES"/>
      <w14:ligatures w14:val="none"/>
    </w:rPr>
  </w:style>
  <w:style w:type="paragraph" w:styleId="Sinespaciado">
    <w:name w:val="No Spacing"/>
    <w:uiPriority w:val="1"/>
    <w:qFormat/>
    <w:rsid w:val="006769A0"/>
    <w:pPr>
      <w:spacing w:after="0" w:line="240" w:lineRule="auto"/>
    </w:pPr>
    <w:rPr>
      <w:kern w:val="0"/>
      <w14:ligatures w14:val="none"/>
    </w:rPr>
  </w:style>
  <w:style w:type="paragraph" w:styleId="Sangra2detindependiente">
    <w:name w:val="Body Text Indent 2"/>
    <w:basedOn w:val="Normal"/>
    <w:link w:val="Sangra2detindependienteCar"/>
    <w:unhideWhenUsed/>
    <w:rsid w:val="00BB7D81"/>
    <w:pPr>
      <w:spacing w:after="120" w:line="480" w:lineRule="auto"/>
      <w:ind w:left="283"/>
    </w:pPr>
    <w:rPr>
      <w:rFonts w:ascii="Times New Roman" w:eastAsia="Times New Roman" w:hAnsi="Times New Roman" w:cs="Times New Roman"/>
      <w:sz w:val="20"/>
      <w:szCs w:val="20"/>
      <w:lang w:eastAsia="es-CO"/>
    </w:rPr>
  </w:style>
  <w:style w:type="character" w:customStyle="1" w:styleId="Sangra2detindependienteCar">
    <w:name w:val="Sangría 2 de t. independiente Car"/>
    <w:basedOn w:val="Fuentedeprrafopredeter"/>
    <w:link w:val="Sangra2detindependiente"/>
    <w:rsid w:val="00BB7D81"/>
    <w:rPr>
      <w:rFonts w:ascii="Times New Roman" w:eastAsia="Times New Roman" w:hAnsi="Times New Roman" w:cs="Times New Roman"/>
      <w:kern w:val="0"/>
      <w:sz w:val="20"/>
      <w:szCs w:val="20"/>
      <w:lang w:eastAsia="es-C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245</Words>
  <Characters>1348</Characters>
  <Application>Microsoft Office Word</Application>
  <DocSecurity>0</DocSecurity>
  <Lines>11</Lines>
  <Paragraphs>3</Paragraphs>
  <ScaleCrop>false</ScaleCrop>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LRINCON</dc:creator>
  <cp:keywords/>
  <dc:description/>
  <cp:lastModifiedBy>LRINCON</cp:lastModifiedBy>
  <cp:revision>4</cp:revision>
  <dcterms:created xsi:type="dcterms:W3CDTF">2024-06-25T17:05:00Z</dcterms:created>
  <dcterms:modified xsi:type="dcterms:W3CDTF">2026-06-26T19:50:00Z</dcterms:modified>
</cp:coreProperties>
</file>